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71" w:rsidRPr="00927071" w:rsidRDefault="00927071" w:rsidP="00927071">
      <w:pPr>
        <w:spacing w:after="0"/>
        <w:jc w:val="center"/>
        <w:rPr>
          <w:rFonts w:ascii="Century" w:hAnsi="Century"/>
          <w:b/>
        </w:rPr>
      </w:pPr>
      <w:r w:rsidRPr="00927071">
        <w:rPr>
          <w:rFonts w:ascii="Century" w:hAnsi="Century"/>
          <w:b/>
          <w:sz w:val="52"/>
        </w:rPr>
        <w:t xml:space="preserve">Life Application Questions </w:t>
      </w:r>
      <w:bookmarkStart w:id="0" w:name="_GoBack"/>
      <w:bookmarkEnd w:id="0"/>
    </w:p>
    <w:p w:rsidR="00927071" w:rsidRPr="00927071" w:rsidRDefault="00927071" w:rsidP="00927071">
      <w:pPr>
        <w:spacing w:after="0"/>
        <w:jc w:val="center"/>
        <w:rPr>
          <w:rFonts w:ascii="Century" w:hAnsi="Century"/>
          <w:b/>
        </w:rPr>
      </w:pPr>
      <w:r w:rsidRPr="00927071">
        <w:rPr>
          <w:rFonts w:ascii="Century" w:hAnsi="Century"/>
          <w:b/>
        </w:rPr>
        <w:t>Living at the End of an Age ~ Are You Ready to Enter LIFE?</w:t>
      </w:r>
    </w:p>
    <w:p w:rsidR="00927071" w:rsidRPr="00927071" w:rsidRDefault="00927071" w:rsidP="00927071">
      <w:pPr>
        <w:spacing w:after="0"/>
        <w:jc w:val="center"/>
        <w:rPr>
          <w:rFonts w:ascii="Century" w:hAnsi="Century"/>
        </w:rPr>
      </w:pPr>
    </w:p>
    <w:p w:rsidR="00927071" w:rsidRPr="00927071" w:rsidRDefault="00927071" w:rsidP="00927071">
      <w:pPr>
        <w:pStyle w:val="ListParagraph"/>
        <w:numPr>
          <w:ilvl w:val="0"/>
          <w:numId w:val="1"/>
        </w:numPr>
        <w:spacing w:line="480" w:lineRule="auto"/>
        <w:rPr>
          <w:rFonts w:ascii="Century" w:hAnsi="Century"/>
        </w:rPr>
      </w:pPr>
      <w:r w:rsidRPr="00927071">
        <w:rPr>
          <w:rFonts w:ascii="Century" w:hAnsi="Century"/>
        </w:rPr>
        <w:t>We should never underestimate God’s resurrection power. In Matthew’s telling of this story (Matt 22:29), what lack of faith and understanding is reflected in the Sadducees’ question? How is this like John 3:4-5, 6:9-11, 30-33?</w:t>
      </w:r>
    </w:p>
    <w:p w:rsidR="00927071" w:rsidRPr="00927071" w:rsidRDefault="00927071" w:rsidP="00927071">
      <w:pPr>
        <w:pStyle w:val="ListParagraph"/>
        <w:numPr>
          <w:ilvl w:val="0"/>
          <w:numId w:val="1"/>
        </w:numPr>
        <w:spacing w:line="480" w:lineRule="auto"/>
        <w:rPr>
          <w:rFonts w:ascii="Century" w:hAnsi="Century"/>
        </w:rPr>
      </w:pPr>
      <w:r w:rsidRPr="00927071">
        <w:rPr>
          <w:rFonts w:ascii="Century" w:hAnsi="Century"/>
        </w:rPr>
        <w:t>What things are added to our knowledge of the resurrection body in Luke 20:35-36? Can we make any sense of this and Jesus’ resurrection body that walked through walls but still had the scars of crucifixion? How might we be still had the scars of crucifixion? How might we be still connected to the creation reality we have always known?</w:t>
      </w:r>
    </w:p>
    <w:p w:rsidR="00927071" w:rsidRPr="00927071" w:rsidRDefault="00927071" w:rsidP="00927071">
      <w:pPr>
        <w:pStyle w:val="ListParagraph"/>
        <w:numPr>
          <w:ilvl w:val="0"/>
          <w:numId w:val="1"/>
        </w:numPr>
        <w:spacing w:line="480" w:lineRule="auto"/>
        <w:rPr>
          <w:rFonts w:ascii="Century" w:hAnsi="Century"/>
        </w:rPr>
      </w:pPr>
      <w:r w:rsidRPr="00927071">
        <w:rPr>
          <w:rFonts w:ascii="Century" w:hAnsi="Century"/>
        </w:rPr>
        <w:t xml:space="preserve">In the resurrection, will you still be you? Describe the yes and no answers of that question. </w:t>
      </w:r>
    </w:p>
    <w:p w:rsidR="00927071" w:rsidRPr="00927071" w:rsidRDefault="00927071" w:rsidP="00927071">
      <w:pPr>
        <w:pStyle w:val="ListParagraph"/>
        <w:numPr>
          <w:ilvl w:val="0"/>
          <w:numId w:val="1"/>
        </w:numPr>
        <w:spacing w:line="480" w:lineRule="auto"/>
        <w:rPr>
          <w:rFonts w:ascii="Century" w:hAnsi="Century"/>
        </w:rPr>
      </w:pPr>
      <w:r w:rsidRPr="00927071">
        <w:rPr>
          <w:rFonts w:ascii="Century" w:hAnsi="Century"/>
        </w:rPr>
        <w:t>Make a list of things you feel obligated to be responsible for (worry about) now that will mean nothing in the kingdom of heaven.</w:t>
      </w:r>
    </w:p>
    <w:p w:rsidR="00927071" w:rsidRPr="00927071" w:rsidRDefault="00927071" w:rsidP="00927071">
      <w:pPr>
        <w:pStyle w:val="ListParagraph"/>
        <w:numPr>
          <w:ilvl w:val="0"/>
          <w:numId w:val="1"/>
        </w:numPr>
        <w:spacing w:line="480" w:lineRule="auto"/>
        <w:rPr>
          <w:rFonts w:ascii="Century" w:hAnsi="Century"/>
        </w:rPr>
      </w:pPr>
      <w:r w:rsidRPr="00927071">
        <w:rPr>
          <w:rFonts w:ascii="Century" w:hAnsi="Century"/>
        </w:rPr>
        <w:t>Make a list of things you love now that may not be part of heaven, like marriage. How do you think God will blow away any disappointment at these differences? See Revelation 21:1-7, 22-27.</w:t>
      </w:r>
    </w:p>
    <w:p w:rsidR="00927071" w:rsidRPr="00927071" w:rsidRDefault="00927071" w:rsidP="00927071">
      <w:pPr>
        <w:pStyle w:val="ListParagraph"/>
        <w:numPr>
          <w:ilvl w:val="0"/>
          <w:numId w:val="1"/>
        </w:numPr>
        <w:spacing w:line="480" w:lineRule="auto"/>
        <w:rPr>
          <w:rFonts w:ascii="Century" w:hAnsi="Century"/>
        </w:rPr>
      </w:pPr>
      <w:r w:rsidRPr="00927071">
        <w:rPr>
          <w:rFonts w:ascii="Century" w:hAnsi="Century"/>
        </w:rPr>
        <w:t>How can the knowledge of what is ahead make us appreciate more the gifts we have now? Why would it be wrong to denigrate the good things – marriage, family, etc. – that give us so much now even if they may not be forever?</w:t>
      </w:r>
    </w:p>
    <w:p w:rsidR="00927071" w:rsidRPr="00927071" w:rsidRDefault="00927071" w:rsidP="00927071">
      <w:pPr>
        <w:pStyle w:val="ListParagraph"/>
        <w:numPr>
          <w:ilvl w:val="0"/>
          <w:numId w:val="1"/>
        </w:numPr>
        <w:spacing w:line="480" w:lineRule="auto"/>
        <w:rPr>
          <w:rFonts w:ascii="Century" w:hAnsi="Century"/>
        </w:rPr>
      </w:pPr>
      <w:r w:rsidRPr="00927071">
        <w:rPr>
          <w:rFonts w:ascii="Century" w:hAnsi="Century"/>
        </w:rPr>
        <w:t>How might relationships be unbelievably better as resurrected, eternal people? How will that not be boring? Where will the mystery be that keeps things interesting?</w:t>
      </w:r>
    </w:p>
    <w:sectPr w:rsidR="00927071" w:rsidRPr="00927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071F"/>
    <w:multiLevelType w:val="hybridMultilevel"/>
    <w:tmpl w:val="B1E0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71"/>
    <w:rsid w:val="0092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Kailyn Kowelenko</dc:creator>
  <cp:lastModifiedBy>Kailyn Kowelenko</cp:lastModifiedBy>
  <cp:revision>1</cp:revision>
  <dcterms:created xsi:type="dcterms:W3CDTF">2018-10-03T15:28:00Z</dcterms:created>
  <dcterms:modified xsi:type="dcterms:W3CDTF">2018-10-03T15:36:00Z</dcterms:modified>
</cp:coreProperties>
</file>